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533.0" w:type="dxa"/>
        <w:jc w:val="left"/>
        <w:tblInd w:w="709.0000000000001"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19"/>
        <w:gridCol w:w="5414"/>
        <w:tblGridChange w:id="0">
          <w:tblGrid>
            <w:gridCol w:w="3119"/>
            <w:gridCol w:w="541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Framework Award Form requires that the Supplier provide a Cyber Essentials Certificate or Cyber Essentials Plus Certificate prior to the Supplier being allowed to provide Services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is due to process data after the Start Date of the first Call-Off Contract but before the end of the Framework Period or Contract Period of the last Call-Off Contract, the Supplier shall deliver to CCS evidence of:</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ensure that all Sub-Contracts with Subcontr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and shall, upon request from the CCS or the Buyer, provide such evidence of compliance with this Paragraph, as reasonably requested by CCS or the Buyer.</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Call-Off Contract and shall only terminate once the Supplier and all Subcontractors no longer process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Cyber Essential Scheme Data.</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rsid w:val="00F4380A"/>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character" w:styleId="GPSL1CLAUSEHEADINGChar" w:customStyle="1">
    <w:name w:val="GPS L1 CLAUSE HEADING Char"/>
    <w:link w:val="GPSL1CLAUSEHEADING"/>
    <w:rsid w:val="00F21C62"/>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cxVaXBGeaCxZu++QyOl4tJtIQQ==">AMUW2mXwUox6T1R6yQs0pK6S/nEZuImMjnRObbNAI7NcKM5AUm6jtxPDneaVfXAuTuz2gvSVQ0I3onF0ZPZpethvBAbi3iEDNZyncVSeQtyplmxSNv5VKhASVs5b0MD/WCd4VLOdHPC5JWt2rPJlLAwYbtfdwSAfOICp7l+d+j1BeaUk5al8V7UCfaI31YbWhbtjSQaeja57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2019-11-17T17:06:00Z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